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614A4A" w:rsidRDefault="00614A4A" w:rsidP="00592183">
            <w:pPr>
              <w:pStyle w:val="1"/>
              <w:ind w:right="-3"/>
              <w:jc w:val="center"/>
              <w:rPr>
                <w:b/>
                <w:szCs w:val="24"/>
              </w:rPr>
            </w:pPr>
            <w:r w:rsidRPr="00614A4A">
              <w:rPr>
                <w:b/>
                <w:sz w:val="24"/>
                <w:szCs w:val="24"/>
              </w:rPr>
              <w:t>Постановление Администрации Кожевниковского района от 30.04.2021 № 217 «Об утверждении 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56708D" w:rsidRDefault="00B2695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6708D" w:rsidRPr="0056708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614A4A" w:rsidP="0056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83" w:rsidRDefault="00592183" w:rsidP="004638C8">
      <w:pPr>
        <w:spacing w:after="0" w:line="240" w:lineRule="auto"/>
      </w:pPr>
      <w:r>
        <w:separator/>
      </w:r>
    </w:p>
  </w:endnote>
  <w:end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83" w:rsidRDefault="00592183" w:rsidP="004638C8">
      <w:pPr>
        <w:spacing w:after="0" w:line="240" w:lineRule="auto"/>
      </w:pPr>
      <w:r>
        <w:separator/>
      </w:r>
    </w:p>
  </w:footnote>
  <w:foot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footnote>
  <w:footnote w:id="1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2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1C7D00"/>
    <w:rsid w:val="001E11CD"/>
    <w:rsid w:val="00415C08"/>
    <w:rsid w:val="004638C8"/>
    <w:rsid w:val="00482252"/>
    <w:rsid w:val="004C4CA6"/>
    <w:rsid w:val="005108A6"/>
    <w:rsid w:val="0056708D"/>
    <w:rsid w:val="00592183"/>
    <w:rsid w:val="00614A4A"/>
    <w:rsid w:val="00902D34"/>
    <w:rsid w:val="009D4810"/>
    <w:rsid w:val="00B2695A"/>
    <w:rsid w:val="00BB45D9"/>
    <w:rsid w:val="00C44471"/>
    <w:rsid w:val="00C5718C"/>
    <w:rsid w:val="00C87B51"/>
    <w:rsid w:val="00CF6DA8"/>
    <w:rsid w:val="00D016AE"/>
    <w:rsid w:val="00DE069D"/>
    <w:rsid w:val="00E65BF6"/>
    <w:rsid w:val="00E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dcterms:created xsi:type="dcterms:W3CDTF">2018-10-01T10:08:00Z</dcterms:created>
  <dcterms:modified xsi:type="dcterms:W3CDTF">2022-04-13T03:11:00Z</dcterms:modified>
</cp:coreProperties>
</file>